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69A" w:rsidRDefault="0021469A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21469A" w:rsidRDefault="0021469A">
      <w:pPr>
        <w:pStyle w:val="ConsPlusNormal"/>
        <w:jc w:val="both"/>
        <w:outlineLvl w:val="0"/>
      </w:pPr>
    </w:p>
    <w:p w:rsidR="0021469A" w:rsidRDefault="0021469A">
      <w:pPr>
        <w:pStyle w:val="ConsPlusNormal"/>
        <w:jc w:val="right"/>
      </w:pPr>
      <w:r>
        <w:t>Бесплатно подписаться на обзоры на сайте КонсультантПлюс</w:t>
      </w:r>
    </w:p>
    <w:p w:rsidR="0021469A" w:rsidRDefault="0021469A">
      <w:pPr>
        <w:pStyle w:val="ConsPlusNormal"/>
      </w:pPr>
    </w:p>
    <w:p w:rsidR="0021469A" w:rsidRDefault="0021469A">
      <w:pPr>
        <w:pStyle w:val="ConsPlusTitle"/>
        <w:jc w:val="center"/>
      </w:pPr>
      <w:r>
        <w:t>ПРАВИТЕЛЬСТВО МЕНЯЕТ ДОПТРЕБОВАНИЯ</w:t>
      </w:r>
    </w:p>
    <w:p w:rsidR="0021469A" w:rsidRDefault="0021469A">
      <w:pPr>
        <w:pStyle w:val="ConsPlusTitle"/>
        <w:jc w:val="center"/>
      </w:pPr>
      <w:r>
        <w:t>К УЧАСТНИКАМ ГОСЗАКУПОК СТРОИТЕЛЬНЫХ РАБОТ</w:t>
      </w:r>
    </w:p>
    <w:p w:rsidR="0021469A" w:rsidRDefault="0021469A">
      <w:pPr>
        <w:pStyle w:val="ConsPlusNormal"/>
        <w:jc w:val="center"/>
      </w:pPr>
    </w:p>
    <w:p w:rsidR="0021469A" w:rsidRDefault="0021469A">
      <w:pPr>
        <w:pStyle w:val="ConsPlusNormal"/>
        <w:ind w:firstLine="540"/>
        <w:jc w:val="both"/>
      </w:pPr>
      <w:r>
        <w:t>Исключительные права на представленный материал принадлежат АО "Консультант Плюс".</w:t>
      </w:r>
    </w:p>
    <w:p w:rsidR="0021469A" w:rsidRDefault="0021469A">
      <w:pPr>
        <w:pStyle w:val="ConsPlusNormal"/>
        <w:spacing w:before="220"/>
        <w:ind w:firstLine="540"/>
        <w:jc w:val="both"/>
      </w:pPr>
      <w:r>
        <w:t xml:space="preserve">Материал подготовлен с использованием правовых актов по состоянию на </w:t>
      </w:r>
      <w:bookmarkStart w:id="0" w:name="_GoBack"/>
      <w:r>
        <w:t>26.03.2019</w:t>
      </w:r>
      <w:bookmarkEnd w:id="0"/>
      <w:r>
        <w:t>.</w:t>
      </w:r>
    </w:p>
    <w:p w:rsidR="0021469A" w:rsidRDefault="0021469A">
      <w:pPr>
        <w:pStyle w:val="ConsPlusNormal"/>
        <w:ind w:firstLine="540"/>
        <w:jc w:val="both"/>
      </w:pPr>
    </w:p>
    <w:p w:rsidR="0021469A" w:rsidRDefault="0021469A">
      <w:pPr>
        <w:pStyle w:val="ConsPlusNormal"/>
        <w:ind w:firstLine="540"/>
        <w:jc w:val="both"/>
      </w:pPr>
      <w:hyperlink r:id="rId6" w:history="1">
        <w:r>
          <w:rPr>
            <w:color w:val="0000FF"/>
          </w:rPr>
          <w:t>Новшества</w:t>
        </w:r>
      </w:hyperlink>
      <w:r>
        <w:t xml:space="preserve"> касаются как </w:t>
      </w:r>
      <w:hyperlink r:id="rId7" w:history="1">
        <w:r>
          <w:rPr>
            <w:color w:val="0000FF"/>
          </w:rPr>
          <w:t xml:space="preserve">закупок с НМЦК более 10 </w:t>
        </w:r>
        <w:proofErr w:type="gramStart"/>
        <w:r>
          <w:rPr>
            <w:color w:val="0000FF"/>
          </w:rPr>
          <w:t>млн</w:t>
        </w:r>
        <w:proofErr w:type="gramEnd"/>
        <w:r>
          <w:rPr>
            <w:color w:val="0000FF"/>
          </w:rPr>
          <w:t xml:space="preserve"> руб</w:t>
        </w:r>
      </w:hyperlink>
      <w:r>
        <w:t xml:space="preserve">., так и </w:t>
      </w:r>
      <w:hyperlink r:id="rId8" w:history="1">
        <w:r>
          <w:rPr>
            <w:color w:val="0000FF"/>
          </w:rPr>
          <w:t>конкурсов с ограниченным участием</w:t>
        </w:r>
      </w:hyperlink>
      <w:r>
        <w:t xml:space="preserve"> по особым объектам и автодорогам. Так, для первых доптребования к участникам станут жестче в большинстве случаев. Изменения нужно учитывать при проведении закупок, которые начнутся </w:t>
      </w:r>
      <w:hyperlink r:id="rId9" w:history="1">
        <w:r>
          <w:rPr>
            <w:color w:val="0000FF"/>
          </w:rPr>
          <w:t>после 1 апреля</w:t>
        </w:r>
      </w:hyperlink>
      <w:r>
        <w:t>.</w:t>
      </w:r>
    </w:p>
    <w:p w:rsidR="0021469A" w:rsidRDefault="0021469A">
      <w:pPr>
        <w:pStyle w:val="ConsPlusNormal"/>
        <w:ind w:firstLine="540"/>
        <w:jc w:val="both"/>
      </w:pPr>
    </w:p>
    <w:p w:rsidR="0021469A" w:rsidRDefault="0021469A">
      <w:pPr>
        <w:pStyle w:val="ConsPlusTitle"/>
        <w:ind w:firstLine="540"/>
        <w:jc w:val="both"/>
        <w:outlineLvl w:val="0"/>
      </w:pPr>
      <w:r>
        <w:t xml:space="preserve">"Строительные" закупки с НМЦК свыше 10 </w:t>
      </w:r>
      <w:proofErr w:type="gramStart"/>
      <w:r>
        <w:t>млн</w:t>
      </w:r>
      <w:proofErr w:type="gramEnd"/>
      <w:r>
        <w:t xml:space="preserve"> руб.</w:t>
      </w:r>
    </w:p>
    <w:p w:rsidR="0021469A" w:rsidRDefault="0021469A">
      <w:pPr>
        <w:pStyle w:val="ConsPlusNormal"/>
        <w:ind w:firstLine="540"/>
        <w:jc w:val="both"/>
      </w:pPr>
    </w:p>
    <w:p w:rsidR="0021469A" w:rsidRDefault="0021469A">
      <w:pPr>
        <w:pStyle w:val="ConsPlusNormal"/>
        <w:ind w:firstLine="540"/>
        <w:jc w:val="both"/>
      </w:pPr>
      <w:r>
        <w:t>Требования будут отличаться в зависимости от предмета контракта.</w:t>
      </w:r>
    </w:p>
    <w:p w:rsidR="0021469A" w:rsidRDefault="0021469A">
      <w:pPr>
        <w:pStyle w:val="ConsPlusNormal"/>
        <w:spacing w:before="220"/>
        <w:ind w:firstLine="540"/>
        <w:jc w:val="both"/>
      </w:pPr>
      <w:r>
        <w:t xml:space="preserve">При закупке работ по строительству, капремонту, реконструкции или сносу </w:t>
      </w:r>
      <w:hyperlink r:id="rId10" w:history="1">
        <w:r>
          <w:rPr>
            <w:b/>
            <w:color w:val="0000FF"/>
          </w:rPr>
          <w:t>объектов капстроительства</w:t>
        </w:r>
      </w:hyperlink>
      <w:r>
        <w:t xml:space="preserve">, а также </w:t>
      </w:r>
      <w:hyperlink r:id="rId11" w:history="1">
        <w:r>
          <w:rPr>
            <w:b/>
            <w:color w:val="0000FF"/>
          </w:rPr>
          <w:t>линейных объектов</w:t>
        </w:r>
      </w:hyperlink>
      <w:r>
        <w:t xml:space="preserve"> стоимость контракта или договора, подтверждающего опыт, составит не менее:</w:t>
      </w:r>
    </w:p>
    <w:p w:rsidR="0021469A" w:rsidRDefault="0021469A">
      <w:pPr>
        <w:pStyle w:val="ConsPlusNormal"/>
        <w:spacing w:before="220"/>
        <w:ind w:firstLine="540"/>
        <w:jc w:val="both"/>
      </w:pPr>
      <w:r>
        <w:t xml:space="preserve">- 50% НМЦК, если она больше 10 </w:t>
      </w:r>
      <w:proofErr w:type="gramStart"/>
      <w:r>
        <w:t>млн</w:t>
      </w:r>
      <w:proofErr w:type="gramEnd"/>
      <w:r>
        <w:t xml:space="preserve"> руб. и не превышает 100 млн руб.;</w:t>
      </w:r>
    </w:p>
    <w:p w:rsidR="0021469A" w:rsidRDefault="0021469A">
      <w:pPr>
        <w:pStyle w:val="ConsPlusNormal"/>
        <w:spacing w:before="220"/>
        <w:ind w:firstLine="540"/>
        <w:jc w:val="both"/>
      </w:pPr>
      <w:r>
        <w:t xml:space="preserve">- 40% НМЦК, если она больше 100 </w:t>
      </w:r>
      <w:proofErr w:type="gramStart"/>
      <w:r>
        <w:t>млн</w:t>
      </w:r>
      <w:proofErr w:type="gramEnd"/>
      <w:r>
        <w:t xml:space="preserve"> руб. и не превышает 500 млн руб.;</w:t>
      </w:r>
    </w:p>
    <w:p w:rsidR="0021469A" w:rsidRDefault="0021469A">
      <w:pPr>
        <w:pStyle w:val="ConsPlusNormal"/>
        <w:spacing w:before="220"/>
        <w:ind w:firstLine="540"/>
        <w:jc w:val="both"/>
      </w:pPr>
      <w:r>
        <w:t xml:space="preserve">- 30% НМЦК, если она больше 500 </w:t>
      </w:r>
      <w:proofErr w:type="gramStart"/>
      <w:r>
        <w:t>млн</w:t>
      </w:r>
      <w:proofErr w:type="gramEnd"/>
      <w:r>
        <w:t xml:space="preserve"> руб. и не превышает 1 млрд руб.;</w:t>
      </w:r>
    </w:p>
    <w:p w:rsidR="0021469A" w:rsidRDefault="0021469A">
      <w:pPr>
        <w:pStyle w:val="ConsPlusNormal"/>
        <w:spacing w:before="220"/>
        <w:ind w:firstLine="540"/>
        <w:jc w:val="both"/>
      </w:pPr>
      <w:r>
        <w:t xml:space="preserve">- 20% НМЦК, если она больше 1 </w:t>
      </w:r>
      <w:proofErr w:type="gramStart"/>
      <w:r>
        <w:t>млрд</w:t>
      </w:r>
      <w:proofErr w:type="gramEnd"/>
      <w:r>
        <w:t xml:space="preserve"> руб.</w:t>
      </w:r>
    </w:p>
    <w:p w:rsidR="0021469A" w:rsidRDefault="0021469A">
      <w:pPr>
        <w:pStyle w:val="ConsPlusNormal"/>
        <w:spacing w:before="220"/>
        <w:ind w:firstLine="540"/>
        <w:jc w:val="both"/>
      </w:pPr>
      <w:r>
        <w:t>Предметом контракта или договора должны быть работы на таком же объекте, то есть опыт по объектам капстроительства нельзя подтвердить контрактом либо договором на линейный объект и наоборот.</w:t>
      </w:r>
    </w:p>
    <w:p w:rsidR="0021469A" w:rsidRDefault="0021469A">
      <w:pPr>
        <w:pStyle w:val="ConsPlusNormal"/>
        <w:spacing w:before="220"/>
        <w:ind w:firstLine="540"/>
        <w:jc w:val="both"/>
      </w:pPr>
      <w:r>
        <w:t xml:space="preserve">Для участия в закупке </w:t>
      </w:r>
      <w:hyperlink r:id="rId12" w:history="1">
        <w:r>
          <w:rPr>
            <w:b/>
            <w:color w:val="0000FF"/>
          </w:rPr>
          <w:t>работ по благоустройству территории или строительству некапитальных объектов</w:t>
        </w:r>
      </w:hyperlink>
      <w:r>
        <w:t xml:space="preserve"> потребуется опыт исполнения контракта или договора на сумму не менее 20% НМЦК. Его предметом могут быть эти же работы, если он заключен в рамках </w:t>
      </w:r>
      <w:hyperlink r:id="rId13" w:history="1">
        <w:r>
          <w:rPr>
            <w:color w:val="0000FF"/>
          </w:rPr>
          <w:t>Законов N 44-ФЗ</w:t>
        </w:r>
      </w:hyperlink>
      <w:r>
        <w:t xml:space="preserve"> или </w:t>
      </w:r>
      <w:hyperlink r:id="rId14" w:history="1">
        <w:r>
          <w:rPr>
            <w:color w:val="0000FF"/>
          </w:rPr>
          <w:t>N 223-ФЗ</w:t>
        </w:r>
      </w:hyperlink>
      <w:r>
        <w:t>. Участники также могут подтвердить опыт обычным договором на работы по строительству, капремонту, реконструкции или сносу объектов капстроительства, в том числе линейных.</w:t>
      </w:r>
    </w:p>
    <w:p w:rsidR="0021469A" w:rsidRDefault="0021469A">
      <w:pPr>
        <w:pStyle w:val="ConsPlusNormal"/>
        <w:spacing w:before="220"/>
        <w:ind w:firstLine="540"/>
        <w:jc w:val="both"/>
      </w:pPr>
      <w:r>
        <w:t xml:space="preserve">Аналогичные правила предусмотрены для закупок </w:t>
      </w:r>
      <w:hyperlink r:id="rId15" w:history="1">
        <w:r>
          <w:rPr>
            <w:b/>
            <w:color w:val="0000FF"/>
          </w:rPr>
          <w:t>работ по ремонту или содержанию автодорог</w:t>
        </w:r>
      </w:hyperlink>
      <w:r>
        <w:t>.</w:t>
      </w:r>
    </w:p>
    <w:p w:rsidR="0021469A" w:rsidRDefault="0021469A">
      <w:pPr>
        <w:pStyle w:val="ConsPlusNormal"/>
        <w:ind w:firstLine="540"/>
        <w:jc w:val="both"/>
      </w:pPr>
    </w:p>
    <w:p w:rsidR="0021469A" w:rsidRDefault="0021469A">
      <w:pPr>
        <w:pStyle w:val="ConsPlusTitle"/>
        <w:ind w:firstLine="540"/>
        <w:jc w:val="both"/>
        <w:outlineLvl w:val="0"/>
      </w:pPr>
      <w:r>
        <w:t>Конкурсы с ограниченным участием по особым объектам и автодорогам</w:t>
      </w:r>
    </w:p>
    <w:p w:rsidR="0021469A" w:rsidRDefault="0021469A">
      <w:pPr>
        <w:pStyle w:val="ConsPlusNormal"/>
        <w:ind w:firstLine="540"/>
        <w:jc w:val="both"/>
      </w:pPr>
    </w:p>
    <w:p w:rsidR="0021469A" w:rsidRDefault="0021469A">
      <w:pPr>
        <w:pStyle w:val="ConsPlusNormal"/>
        <w:ind w:firstLine="540"/>
        <w:jc w:val="both"/>
      </w:pPr>
      <w:r>
        <w:t xml:space="preserve">Заказчики любого уровня будут устанавливать </w:t>
      </w:r>
      <w:hyperlink r:id="rId16" w:history="1">
        <w:r>
          <w:rPr>
            <w:color w:val="0000FF"/>
          </w:rPr>
          <w:t>доптребование</w:t>
        </w:r>
      </w:hyperlink>
      <w:r>
        <w:t xml:space="preserve"> в конкурсах с ограниченным участием, если НМЦК превысит </w:t>
      </w:r>
      <w:hyperlink r:id="rId17" w:history="1">
        <w:r>
          <w:rPr>
            <w:color w:val="0000FF"/>
          </w:rPr>
          <w:t xml:space="preserve">100 </w:t>
        </w:r>
        <w:proofErr w:type="gramStart"/>
        <w:r>
          <w:rPr>
            <w:color w:val="0000FF"/>
          </w:rPr>
          <w:t>млн</w:t>
        </w:r>
        <w:proofErr w:type="gramEnd"/>
        <w:r>
          <w:rPr>
            <w:color w:val="0000FF"/>
          </w:rPr>
          <w:t xml:space="preserve"> руб</w:t>
        </w:r>
      </w:hyperlink>
      <w:r>
        <w:t>.</w:t>
      </w:r>
    </w:p>
    <w:p w:rsidR="0021469A" w:rsidRDefault="0021469A">
      <w:pPr>
        <w:pStyle w:val="ConsPlusNormal"/>
        <w:spacing w:before="220"/>
        <w:ind w:firstLine="540"/>
        <w:jc w:val="both"/>
      </w:pPr>
      <w:r>
        <w:t xml:space="preserve">Перечень видов работ </w:t>
      </w:r>
      <w:hyperlink r:id="rId18" w:history="1">
        <w:r>
          <w:rPr>
            <w:color w:val="0000FF"/>
          </w:rPr>
          <w:t>дополнили</w:t>
        </w:r>
      </w:hyperlink>
      <w:r>
        <w:t xml:space="preserve"> работами по сносу объектов.</w:t>
      </w:r>
    </w:p>
    <w:p w:rsidR="0021469A" w:rsidRDefault="0021469A">
      <w:pPr>
        <w:pStyle w:val="ConsPlusNormal"/>
        <w:jc w:val="both"/>
      </w:pPr>
    </w:p>
    <w:p w:rsidR="0021469A" w:rsidRDefault="0021469A">
      <w:pPr>
        <w:pStyle w:val="ConsPlusNormal"/>
        <w:jc w:val="both"/>
      </w:pPr>
    </w:p>
    <w:p w:rsidR="0021469A" w:rsidRDefault="0021469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87666" w:rsidRDefault="00087666"/>
    <w:sectPr w:rsidR="00087666" w:rsidSect="00EA0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69A"/>
    <w:rsid w:val="00087666"/>
    <w:rsid w:val="0021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46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146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146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46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146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146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8B3DECC1E228B2E4B03ED39631D1BD4C480C1CA2979D8DDA728CB4B0238A88AD7E61D08458F612ED144C1E498AE729CE7D498FEA76F6F6DF4yEL" TargetMode="External"/><Relationship Id="rId13" Type="http://schemas.openxmlformats.org/officeDocument/2006/relationships/hyperlink" Target="consultantplus://offline/ref=A8B3DECC1E228B2E4B03ED39631D1BD4C583C6C92E7CD8DDA728CB4B0238A88AC5E6450444867F27D15197B5DDFFy2L" TargetMode="External"/><Relationship Id="rId18" Type="http://schemas.openxmlformats.org/officeDocument/2006/relationships/hyperlink" Target="consultantplus://offline/ref=A8B3DECC1E228B2E4B03ED39631D1BD4C580C3C0297AD8DDA728CB4B0238A88AD7E61D08458F6123D644C1E498AE729CE7D498FEA76F6F6DF4yE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8B3DECC1E228B2E4B03ED39631D1BD4C480C1CA2979D8DDA728CB4B0238A88AD7E61D084C843576911A98B4D5E57F99F0C898FBFBy0L" TargetMode="External"/><Relationship Id="rId12" Type="http://schemas.openxmlformats.org/officeDocument/2006/relationships/hyperlink" Target="consultantplus://offline/ref=A8B3DECC1E228B2E4B03ED39631D1BD4C580C3C0297AD8DDA728CB4B0238A88AD7E61D08458F6124D444C1E498AE729CE7D498FEA76F6F6DF4yEL" TargetMode="External"/><Relationship Id="rId17" Type="http://schemas.openxmlformats.org/officeDocument/2006/relationships/hyperlink" Target="consultantplus://offline/ref=A8B3DECC1E228B2E4B03ED39631D1BD4C580C3C0297AD8DDA728CB4B0238A88AD7E61D08458F6123D144C1E498AE729CE7D498FEA76F6F6DF4yE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8B3DECC1E228B2E4B03ED39631D1BD4C480C1CA2979D8DDA728CB4B0238A88AD7E61D08458F612ED044C1E498AE729CE7D498FEA76F6F6DF4yEL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8B3DECC1E228B2E4B03ED39631D1BD4C580C3C0297AD8DDA728CB4B0238A88AD7E61D08458F6127DC44C1E498AE729CE7D498FEA76F6F6DF4yEL" TargetMode="External"/><Relationship Id="rId11" Type="http://schemas.openxmlformats.org/officeDocument/2006/relationships/hyperlink" Target="consultantplus://offline/ref=A8B3DECC1E228B2E4B03ED39631D1BD4C580C3C0297AD8DDA728CB4B0238A88AD7E61D08458F6125D244C1E498AE729CE7D498FEA76F6F6DF4yEL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A8B3DECC1E228B2E4B03ED39631D1BD4C580C3C0297AD8DDA728CB4B0238A88AD7E61D08458F6124D044C1E498AE729CE7D498FEA76F6F6DF4yEL" TargetMode="External"/><Relationship Id="rId10" Type="http://schemas.openxmlformats.org/officeDocument/2006/relationships/hyperlink" Target="consultantplus://offline/ref=A8B3DECC1E228B2E4B03ED39631D1BD4C580C3C0297AD8DDA728CB4B0238A88AD7E61D08458F6126DD44C1E498AE729CE7D498FEA76F6F6DF4yE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8B3DECC1E228B2E4B03ED39631D1BD4C580C3C0297AD8DDA728CB4B0238A88AD7E61D08458F6127D344C1E498AE729CE7D498FEA76F6F6DF4yEL" TargetMode="External"/><Relationship Id="rId14" Type="http://schemas.openxmlformats.org/officeDocument/2006/relationships/hyperlink" Target="consultantplus://offline/ref=A8B3DECC1E228B2E4B03ED39631D1BD4C583C1CA2E7CD8DDA728CB4B0238A88AC5E6450444867F27D15197B5DDFFy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2019-04-19T11:50:00Z</dcterms:created>
  <dcterms:modified xsi:type="dcterms:W3CDTF">2019-04-19T11:50:00Z</dcterms:modified>
</cp:coreProperties>
</file>